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5276A" w14:textId="13106816" w:rsidR="001052FE" w:rsidRPr="006060A5" w:rsidRDefault="001052FE" w:rsidP="006060A5">
      <w:pPr>
        <w:pStyle w:val="Heading2"/>
        <w:spacing w:after="240"/>
        <w:ind w:left="1440" w:firstLine="720"/>
        <w:rPr>
          <w:b/>
          <w:bCs/>
          <w:color w:val="0655FF"/>
        </w:rPr>
      </w:pPr>
      <w:r w:rsidRPr="006060A5">
        <w:rPr>
          <w:b/>
          <w:bCs/>
          <w:color w:val="0655FF"/>
        </w:rPr>
        <w:t xml:space="preserve">AI </w:t>
      </w:r>
      <w:r w:rsidR="00FB5A39">
        <w:rPr>
          <w:b/>
          <w:bCs/>
          <w:color w:val="0655FF"/>
        </w:rPr>
        <w:t>Testing Plan (Template)</w:t>
      </w:r>
    </w:p>
    <w:p w14:paraId="6E15EBD7" w14:textId="29F194E9" w:rsidR="001052FE" w:rsidRPr="00FB5A39" w:rsidRDefault="00FB5A39" w:rsidP="006060A5">
      <w:pPr>
        <w:shd w:val="clear" w:color="auto" w:fill="E8E8E8" w:themeFill="background2"/>
        <w:spacing w:before="60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FB5A39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1. Purpose and Scope</w:t>
      </w:r>
    </w:p>
    <w:p w14:paraId="05EEB533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  <w:b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System name:</w:t>
      </w:r>
    </w:p>
    <w:p w14:paraId="31AA2AEA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  <w:b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Business purpose / outcomes:</w:t>
      </w:r>
    </w:p>
    <w:p w14:paraId="683D0E20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In scope:</w:t>
      </w:r>
      <w:r w:rsidRPr="00B96000">
        <w:rPr>
          <w:rFonts w:cs="Segoe UI Symbol"/>
        </w:rPr>
        <w:t xml:space="preserve"> components, data sources, integrations, user groups.</w:t>
      </w:r>
    </w:p>
    <w:p w14:paraId="0953C788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Out of scope:</w:t>
      </w:r>
      <w:r w:rsidRPr="00B96000">
        <w:rPr>
          <w:rFonts w:cs="Segoe UI Symbol"/>
        </w:rPr>
        <w:t xml:space="preserve"> what this plan does not cover (and why).</w:t>
      </w:r>
    </w:p>
    <w:p w14:paraId="33C4F592" w14:textId="6E1A6114" w:rsidR="006060A5" w:rsidRPr="00B96000" w:rsidRDefault="005D0E5A" w:rsidP="005D0E5A">
      <w:pPr>
        <w:shd w:val="clear" w:color="auto" w:fill="DAE9F7" w:themeFill="text2" w:themeFillTint="1A"/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Impact level / risk class:</w:t>
      </w:r>
      <w:r w:rsidRPr="00B96000">
        <w:rPr>
          <w:rFonts w:cs="Segoe UI Symbol"/>
        </w:rPr>
        <w:t xml:space="preserve"> from AI Screening Tool (normal / elevated).</w:t>
      </w:r>
    </w:p>
    <w:p w14:paraId="2A2A4B48" w14:textId="26D906DB" w:rsidR="001052FE" w:rsidRPr="005D0E5A" w:rsidRDefault="005D0E5A" w:rsidP="006060A5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5D0E5A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2. Roles and Responsibilities</w:t>
      </w:r>
    </w:p>
    <w:p w14:paraId="0FF50F9D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System Owner:</w:t>
      </w:r>
      <w:r w:rsidRPr="00B96000">
        <w:rPr>
          <w:rFonts w:cs="Segoe UI Symbol"/>
        </w:rPr>
        <w:t xml:space="preserve"> accountable for approval and operational sign-off.</w:t>
      </w:r>
    </w:p>
    <w:p w14:paraId="4764C197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Data Science Lead:</w:t>
      </w:r>
      <w:r w:rsidRPr="00B96000">
        <w:rPr>
          <w:rFonts w:cs="Segoe UI Symbol"/>
        </w:rPr>
        <w:t xml:space="preserve"> test design, execution, and reporting.</w:t>
      </w:r>
    </w:p>
    <w:p w14:paraId="7F63A999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Privacy Officer / PIA Owner:</w:t>
      </w:r>
      <w:r w:rsidRPr="00B96000">
        <w:rPr>
          <w:rFonts w:cs="Segoe UI Symbol"/>
        </w:rPr>
        <w:t xml:space="preserve"> privacy controls, APP alignment, review.</w:t>
      </w:r>
    </w:p>
    <w:p w14:paraId="2D6E5A6E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Information Security Manager:</w:t>
      </w:r>
      <w:r w:rsidRPr="00B96000">
        <w:rPr>
          <w:rFonts w:cs="Segoe UI Symbol"/>
        </w:rPr>
        <w:t xml:space="preserve"> security and resilience testing.</w:t>
      </w:r>
    </w:p>
    <w:p w14:paraId="7D8FED92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Risk &amp; Compliance:</w:t>
      </w:r>
      <w:r w:rsidRPr="00B96000">
        <w:rPr>
          <w:rFonts w:cs="Segoe UI Symbol"/>
        </w:rPr>
        <w:t xml:space="preserve"> independent challenge, evidence review.</w:t>
      </w:r>
    </w:p>
    <w:p w14:paraId="159A0269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Internal Audit (if elevated risk):</w:t>
      </w:r>
      <w:r w:rsidRPr="00B96000">
        <w:rPr>
          <w:rFonts w:cs="Segoe UI Symbol"/>
        </w:rPr>
        <w:t xml:space="preserve"> independent validation.</w:t>
      </w:r>
    </w:p>
    <w:p w14:paraId="06925C39" w14:textId="5F50857E" w:rsidR="006060A5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RACI:</w:t>
      </w:r>
      <w:r w:rsidRPr="00B96000">
        <w:rPr>
          <w:rFonts w:cs="Segoe UI Symbol"/>
        </w:rPr>
        <w:t xml:space="preserve"> attach a one-page RACI for key test activities.</w:t>
      </w:r>
    </w:p>
    <w:p w14:paraId="2F1E1E99" w14:textId="144C9AB1" w:rsidR="00DD3EEB" w:rsidRPr="00DD3EEB" w:rsidRDefault="00DD3EEB" w:rsidP="005D0E5A">
      <w:pPr>
        <w:shd w:val="clear" w:color="auto" w:fill="DAE9F7" w:themeFill="text2" w:themeFillTint="1A"/>
        <w:rPr>
          <w:lang w:val="en-AU"/>
        </w:rPr>
      </w:pPr>
      <w:r w:rsidRPr="00DD3EEB">
        <w:rPr>
          <w:lang w:val="en-AU"/>
        </w:rPr>
        <w:t>Note: Where no dedicated data-science role exists, testing responsibilities may be undertaken by information management, ICT, or risk or records professionals, supported by external expertise where required.</w:t>
      </w:r>
    </w:p>
    <w:p w14:paraId="05E4B794" w14:textId="05C3C60E" w:rsidR="001052FE" w:rsidRPr="0094665F" w:rsidRDefault="005D0E5A" w:rsidP="006060A5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</w:rPr>
      </w:pPr>
      <w:r w:rsidRPr="005D0E5A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3. Lifecycle Test Stages</w:t>
      </w:r>
    </w:p>
    <w:p w14:paraId="53CB9919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3.1 Pre-deployment (lab/QA):</w:t>
      </w:r>
      <w:r w:rsidRPr="00B96000">
        <w:rPr>
          <w:rFonts w:cs="Segoe UI Symbol"/>
        </w:rPr>
        <w:t xml:space="preserve"> data, model, privacy, security, explainability.</w:t>
      </w:r>
    </w:p>
    <w:p w14:paraId="44BD40CE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3.2 Pilot / shadow mode:</w:t>
      </w:r>
      <w:r w:rsidRPr="00B96000">
        <w:rPr>
          <w:rFonts w:cs="Segoe UI Symbol"/>
        </w:rPr>
        <w:t xml:space="preserve"> limited production exposure, user feedback, thresholds.</w:t>
      </w:r>
    </w:p>
    <w:p w14:paraId="2B6BE7D1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3.3 Post-deployment (BAU):</w:t>
      </w:r>
      <w:r w:rsidRPr="00B96000">
        <w:rPr>
          <w:rFonts w:cs="Segoe UI Symbol"/>
        </w:rPr>
        <w:t xml:space="preserve"> drift, bias, performance, security patching, retrain checks.</w:t>
      </w:r>
    </w:p>
    <w:p w14:paraId="5B98873A" w14:textId="2262744F" w:rsidR="006060A5" w:rsidRPr="00B96000" w:rsidRDefault="005D0E5A" w:rsidP="0094665F">
      <w:pPr>
        <w:shd w:val="clear" w:color="auto" w:fill="DAE9F7" w:themeFill="text2" w:themeFillTint="1A"/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Entry/Exit criteria</w:t>
      </w:r>
      <w:r w:rsidRPr="00B96000">
        <w:rPr>
          <w:rFonts w:cs="Segoe UI Symbol"/>
        </w:rPr>
        <w:t xml:space="preserve"> for each stage (what evidence is required to proceed).</w:t>
      </w:r>
    </w:p>
    <w:p w14:paraId="6DA9BBCD" w14:textId="656F0C62" w:rsidR="005D0E5A" w:rsidRPr="005D0E5A" w:rsidRDefault="005D0E5A" w:rsidP="005D0E5A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5D0E5A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4. Test Inventory and Acceptance Criteria</w:t>
      </w:r>
    </w:p>
    <w:p w14:paraId="5099CFD9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  <w:lang w:val="en-AU"/>
        </w:rPr>
      </w:pPr>
      <w:r w:rsidRPr="00B96000">
        <w:rPr>
          <w:rFonts w:cs="Segoe UI Symbol"/>
          <w:lang w:val="en-AU"/>
        </w:rPr>
        <w:t>Tailor these to the use case; for elevated-risk systems, include independent testing.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2232"/>
        <w:gridCol w:w="2745"/>
        <w:gridCol w:w="2181"/>
      </w:tblGrid>
      <w:tr w:rsidR="005D0E5A" w:rsidRPr="001F3389" w14:paraId="389DC295" w14:textId="77777777" w:rsidTr="009613C1">
        <w:trPr>
          <w:tblHeader/>
          <w:tblCellSpacing w:w="15" w:type="dxa"/>
        </w:trPr>
        <w:tc>
          <w:tcPr>
            <w:tcW w:w="0" w:type="auto"/>
            <w:shd w:val="clear" w:color="auto" w:fill="002060"/>
            <w:vAlign w:val="center"/>
            <w:hideMark/>
          </w:tcPr>
          <w:p w14:paraId="3D281D6F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Test Area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6FE041D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What is Tested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9F0AFBE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Metric / Method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192D262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Acceptance Criteria</w:t>
            </w:r>
          </w:p>
        </w:tc>
      </w:tr>
      <w:tr w:rsidR="005D0E5A" w:rsidRPr="001F3389" w14:paraId="74ACE2AA" w14:textId="77777777" w:rsidTr="009613C1">
        <w:trPr>
          <w:tblCellSpacing w:w="15" w:type="dxa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173EA4D3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Data quality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5945EC32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Completeness, accuracy, timeliness, lineage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6A83272F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Profiling; % missing; schema checks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44831AEE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≤1% critical missing, 0 schema errors</w:t>
            </w:r>
          </w:p>
        </w:tc>
      </w:tr>
      <w:tr w:rsidR="005D0E5A" w:rsidRPr="001F3389" w14:paraId="430A0CE1" w14:textId="77777777" w:rsidTr="009613C1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7809B88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lastRenderedPageBreak/>
              <w:t>Representativeness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BDB68FB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Group coverage vs population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B571DFA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PSI/KS tests; stratified sampling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825F3E2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Each cohort ≥ sample minimum; no severe drift</w:t>
            </w:r>
          </w:p>
        </w:tc>
      </w:tr>
      <w:tr w:rsidR="005D0E5A" w:rsidRPr="001F3389" w14:paraId="4636FC9B" w14:textId="77777777" w:rsidTr="009613C1">
        <w:trPr>
          <w:tblCellSpacing w:w="15" w:type="dxa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739CDD2A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Performance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63DD94C2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Predictive quality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46A0C419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AUC/F1/MAE as relevant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208FC2F5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Meets or exceeds baseline (e.g., AUC ≥ 0.82)</w:t>
            </w:r>
          </w:p>
        </w:tc>
      </w:tr>
      <w:tr w:rsidR="005D0E5A" w:rsidRPr="001F3389" w14:paraId="4531F6C0" w14:textId="77777777" w:rsidTr="009613C1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685AAB6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Fairness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0F2F13F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Outcome and error parity across cohorts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31DAB4B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SPD/TPR parity, EO/</w:t>
            </w:r>
            <w:proofErr w:type="spellStart"/>
            <w:r w:rsidRPr="001F3389">
              <w:rPr>
                <w:rFonts w:eastAsia="Times New Roman" w:cs="Times New Roman"/>
                <w:lang w:eastAsia="en-AU"/>
              </w:rPr>
              <w:t>EOdd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44138EF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Disparity ≤ 10% or approved mitigation</w:t>
            </w:r>
          </w:p>
        </w:tc>
      </w:tr>
      <w:tr w:rsidR="005D0E5A" w:rsidRPr="001F3389" w14:paraId="28A5B644" w14:textId="77777777" w:rsidTr="009613C1">
        <w:trPr>
          <w:tblCellSpacing w:w="15" w:type="dxa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28D3F9FF" w14:textId="77777777" w:rsidR="005D0E5A" w:rsidRPr="00745658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Robustness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672A61BC" w14:textId="77777777" w:rsidR="005D0E5A" w:rsidRPr="00745658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745658">
              <w:rPr>
                <w:rFonts w:eastAsia="Times New Roman" w:cs="Times New Roman"/>
                <w:b/>
                <w:bCs/>
                <w:lang w:eastAsia="en-AU"/>
              </w:rPr>
              <w:t>Sensitivity to small perturbations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5FF448AE" w14:textId="77777777" w:rsidR="005D0E5A" w:rsidRPr="00745658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745658">
              <w:rPr>
                <w:rFonts w:eastAsia="Times New Roman" w:cs="Times New Roman"/>
                <w:b/>
                <w:bCs/>
                <w:lang w:eastAsia="en-AU"/>
              </w:rPr>
              <w:t xml:space="preserve">Stress tests; adversarial prompts (if </w:t>
            </w:r>
            <w:proofErr w:type="spellStart"/>
            <w:r w:rsidRPr="00745658">
              <w:rPr>
                <w:rFonts w:eastAsia="Times New Roman" w:cs="Times New Roman"/>
                <w:b/>
                <w:bCs/>
                <w:lang w:eastAsia="en-AU"/>
              </w:rPr>
              <w:t>GenAI</w:t>
            </w:r>
            <w:proofErr w:type="spellEnd"/>
            <w:r w:rsidRPr="00745658">
              <w:rPr>
                <w:rFonts w:eastAsia="Times New Roman" w:cs="Times New Roman"/>
                <w:b/>
                <w:bCs/>
                <w:lang w:eastAsia="en-AU"/>
              </w:rPr>
              <w:t>)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39951DD1" w14:textId="77777777" w:rsidR="005D0E5A" w:rsidRPr="00745658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lang w:eastAsia="en-AU"/>
              </w:rPr>
            </w:pPr>
            <w:r w:rsidRPr="00745658">
              <w:rPr>
                <w:rFonts w:eastAsia="Times New Roman" w:cs="Times New Roman"/>
                <w:b/>
                <w:bCs/>
                <w:lang w:eastAsia="en-AU"/>
              </w:rPr>
              <w:t>No critical degradation; bounded variance</w:t>
            </w:r>
          </w:p>
        </w:tc>
      </w:tr>
      <w:tr w:rsidR="005D0E5A" w:rsidRPr="001F3389" w14:paraId="66FFE27A" w14:textId="77777777" w:rsidTr="009613C1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84E1249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Explainability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6207493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Local/global explanations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6252790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SHAP/LIME + plain-English summaries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A6B71F6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Explanations generated and understood by users</w:t>
            </w:r>
          </w:p>
        </w:tc>
      </w:tr>
      <w:tr w:rsidR="005D0E5A" w:rsidRPr="001F3389" w14:paraId="205DC85C" w14:textId="77777777" w:rsidTr="009613C1">
        <w:trPr>
          <w:tblCellSpacing w:w="15" w:type="dxa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01A042AF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Privacy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7C2AD750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 xml:space="preserve">Purpose compatibility; </w:t>
            </w:r>
            <w:proofErr w:type="spellStart"/>
            <w:r w:rsidRPr="001F3389">
              <w:rPr>
                <w:rFonts w:eastAsia="Times New Roman" w:cs="Times New Roman"/>
                <w:lang w:eastAsia="en-AU"/>
              </w:rPr>
              <w:t>minimisation</w:t>
            </w:r>
            <w:proofErr w:type="spellEnd"/>
            <w:r w:rsidRPr="001F3389">
              <w:rPr>
                <w:rFonts w:eastAsia="Times New Roman" w:cs="Times New Roman"/>
                <w:lang w:eastAsia="en-AU"/>
              </w:rPr>
              <w:t>; notices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12930A8F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PIA checks; data maps; APP 5/6/11 review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2E08BD95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No APP gaps; residual risks documented</w:t>
            </w:r>
          </w:p>
        </w:tc>
      </w:tr>
      <w:tr w:rsidR="005D0E5A" w:rsidRPr="001F3389" w14:paraId="2CC521D8" w14:textId="77777777" w:rsidTr="009613C1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8DC32FC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Security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29CC4EA" w14:textId="1CC87AB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Access, encryption, secrets, dependency risk</w:t>
            </w:r>
            <w:r w:rsidR="00DD3EEB">
              <w:rPr>
                <w:rFonts w:eastAsia="Times New Roman" w:cs="Times New Roman"/>
                <w:lang w:eastAsia="en-AU"/>
              </w:rPr>
              <w:t xml:space="preserve"> </w:t>
            </w:r>
            <w:r w:rsidR="00DD3EEB" w:rsidRPr="00DD3EEB">
              <w:rPr>
                <w:rFonts w:eastAsia="Times New Roman" w:cs="Times New Roman"/>
                <w:lang w:val="en-AU" w:eastAsia="en-AU"/>
              </w:rPr>
              <w:t>and supply chain risk, AI specific misuse and integrity risks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33B16E8" w14:textId="5471DAD3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RBAC tests; pen-test; SCA/SBOM</w:t>
            </w:r>
            <w:r w:rsidR="00DD3EEB">
              <w:rPr>
                <w:rFonts w:eastAsia="Times New Roman" w:cs="Times New Roman"/>
                <w:lang w:eastAsia="en-AU"/>
              </w:rPr>
              <w:t xml:space="preserve">, </w:t>
            </w:r>
            <w:r w:rsidR="00DD3EEB" w:rsidRPr="00DD3EEB">
              <w:rPr>
                <w:rFonts w:eastAsia="Times New Roman" w:cs="Times New Roman"/>
                <w:lang w:val="en-AU" w:eastAsia="en-AU"/>
              </w:rPr>
              <w:t>penetration testing; SCA/SBOM; model integrity and prompt manipulation testing; adversarial or red-team testing where appropriate.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CEA8A36" w14:textId="5F9F2CE3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 xml:space="preserve">All high findings remediated </w:t>
            </w:r>
            <w:r w:rsidR="00DD3EEB" w:rsidRPr="00DD3EEB">
              <w:rPr>
                <w:rFonts w:eastAsia="Times New Roman" w:cs="Times New Roman"/>
                <w:lang w:val="en-AU" w:eastAsia="en-AU"/>
              </w:rPr>
              <w:t>or formally accepted, including risks arising from adversarial or misuse scenarios.</w:t>
            </w:r>
          </w:p>
        </w:tc>
      </w:tr>
      <w:tr w:rsidR="005D0E5A" w:rsidRPr="001F3389" w14:paraId="4551125C" w14:textId="77777777" w:rsidTr="009613C1">
        <w:trPr>
          <w:tblCellSpacing w:w="15" w:type="dxa"/>
        </w:trPr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21B02859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Usability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7E089FBE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Human-in-the-loop flow, escalation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2BE52BD1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UAT scripts; time-to-decision</w:t>
            </w:r>
          </w:p>
        </w:tc>
        <w:tc>
          <w:tcPr>
            <w:tcW w:w="0" w:type="auto"/>
            <w:shd w:val="clear" w:color="auto" w:fill="DAE9F7" w:themeFill="text2" w:themeFillTint="1A"/>
            <w:vAlign w:val="center"/>
            <w:hideMark/>
          </w:tcPr>
          <w:p w14:paraId="11CECB11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≥95% tasks completed within SLA; clear override</w:t>
            </w:r>
          </w:p>
        </w:tc>
      </w:tr>
      <w:tr w:rsidR="005D0E5A" w:rsidRPr="001F3389" w14:paraId="61EB1601" w14:textId="77777777" w:rsidTr="009613C1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23A1C54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b/>
                <w:bCs/>
                <w:lang w:eastAsia="en-AU"/>
              </w:rPr>
              <w:t>Resilience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A5D923E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Failover; rate limiting; timeouts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2C01231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Chaos tests; load tests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D86A815" w14:textId="77777777" w:rsidR="005D0E5A" w:rsidRPr="001F3389" w:rsidRDefault="005D0E5A" w:rsidP="009613C1">
            <w:pPr>
              <w:spacing w:before="100" w:beforeAutospacing="1" w:after="100" w:afterAutospacing="1" w:line="240" w:lineRule="auto"/>
              <w:rPr>
                <w:rFonts w:eastAsia="Times New Roman" w:cs="Times New Roman"/>
                <w:lang w:eastAsia="en-AU"/>
              </w:rPr>
            </w:pPr>
            <w:r w:rsidRPr="001F3389">
              <w:rPr>
                <w:rFonts w:eastAsia="Times New Roman" w:cs="Times New Roman"/>
                <w:lang w:eastAsia="en-AU"/>
              </w:rPr>
              <w:t>Meets SLOs under peak and failover</w:t>
            </w:r>
          </w:p>
        </w:tc>
      </w:tr>
    </w:tbl>
    <w:p w14:paraId="7C4E379A" w14:textId="77777777" w:rsidR="005D0E5A" w:rsidRPr="00B96000" w:rsidRDefault="005D0E5A" w:rsidP="005D0E5A">
      <w:pPr>
        <w:shd w:val="clear" w:color="auto" w:fill="DAE9F7" w:themeFill="text2" w:themeFillTint="1A"/>
      </w:pPr>
      <w:r w:rsidRPr="00B96000">
        <w:t>Notes:</w:t>
      </w:r>
    </w:p>
    <w:p w14:paraId="332224F9" w14:textId="026B54E2" w:rsidR="00DD3EEB" w:rsidRDefault="005D0E5A" w:rsidP="0094665F">
      <w:pPr>
        <w:shd w:val="clear" w:color="auto" w:fill="DAE9F7" w:themeFill="text2" w:themeFillTint="1A"/>
      </w:pPr>
      <w:bookmarkStart w:id="0" w:name="_Hlk221188770"/>
      <w:r w:rsidRPr="00B96000">
        <w:t>•</w:t>
      </w:r>
      <w:r w:rsidRPr="00B96000">
        <w:tab/>
      </w:r>
      <w:bookmarkEnd w:id="0"/>
      <w:r w:rsidRPr="00B96000">
        <w:t>SPD = Statistical Parity Difference; EO/</w:t>
      </w:r>
      <w:proofErr w:type="spellStart"/>
      <w:r w:rsidRPr="00B96000">
        <w:t>EOdd</w:t>
      </w:r>
      <w:proofErr w:type="spellEnd"/>
      <w:r w:rsidRPr="00B96000">
        <w:t xml:space="preserve"> = Equal Opportunity/Equalized Odds; PSI/KS = Population Stability Index/Kolmogorov–Smirnov.</w:t>
      </w:r>
    </w:p>
    <w:p w14:paraId="6AA40923" w14:textId="6559D51B" w:rsidR="00DD3EEB" w:rsidRPr="00B96000" w:rsidRDefault="00DD3EEB" w:rsidP="0094665F">
      <w:pPr>
        <w:shd w:val="clear" w:color="auto" w:fill="DAE9F7" w:themeFill="text2" w:themeFillTint="1A"/>
      </w:pPr>
      <w:r w:rsidRPr="00B96000">
        <w:t>•</w:t>
      </w:r>
      <w:r w:rsidRPr="00B96000">
        <w:tab/>
      </w:r>
      <w:r>
        <w:t xml:space="preserve">Techniques may include </w:t>
      </w:r>
      <w:proofErr w:type="spellStart"/>
      <w:r>
        <w:t>explainability</w:t>
      </w:r>
      <w:proofErr w:type="spellEnd"/>
      <w:r>
        <w:t xml:space="preserve"> tools (e.g. SHAP, LIME), role-based access controls (RBAC), prompt testing, and adversarial or misuse testing, depending on system risk.</w:t>
      </w:r>
      <w:bookmarkStart w:id="1" w:name="_GoBack"/>
      <w:bookmarkEnd w:id="1"/>
    </w:p>
    <w:p w14:paraId="7B16C23D" w14:textId="688E15FD" w:rsidR="00B96000" w:rsidRPr="00B96000" w:rsidRDefault="005D0E5A" w:rsidP="00B96000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5D0E5A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5. Test Datasets and Control</w:t>
      </w:r>
    </w:p>
    <w:p w14:paraId="71D7473A" w14:textId="0142CF49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Training / validation / test splits:</w:t>
      </w:r>
      <w:r w:rsidRPr="00B96000">
        <w:rPr>
          <w:rFonts w:cs="Segoe UI Symbol"/>
        </w:rPr>
        <w:t xml:space="preserve"> proportions and rationale.</w:t>
      </w:r>
    </w:p>
    <w:p w14:paraId="6AD471EE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Holdout policy:</w:t>
      </w:r>
      <w:r w:rsidRPr="00B96000">
        <w:rPr>
          <w:rFonts w:cs="Segoe UI Symbol"/>
        </w:rPr>
        <w:t xml:space="preserve"> separate, unseen data for final acceptance.</w:t>
      </w:r>
    </w:p>
    <w:p w14:paraId="7323AD05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Sensitive attributes:</w:t>
      </w:r>
      <w:r w:rsidRPr="00B96000">
        <w:rPr>
          <w:rFonts w:cs="Segoe UI Symbol"/>
        </w:rPr>
        <w:t xml:space="preserve"> how collected/handled (proxy detection).</w:t>
      </w:r>
    </w:p>
    <w:p w14:paraId="3AB198DF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Synthetic data:</w:t>
      </w:r>
      <w:r w:rsidRPr="00B96000">
        <w:rPr>
          <w:rFonts w:cs="Segoe UI Symbol"/>
        </w:rPr>
        <w:t xml:space="preserve"> when used and why; limitations noted.</w:t>
      </w:r>
    </w:p>
    <w:p w14:paraId="2C384454" w14:textId="2DEE6A5F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Data retention/disposal:</w:t>
      </w:r>
      <w:r w:rsidRPr="00B96000">
        <w:rPr>
          <w:rFonts w:cs="Segoe UI Symbol"/>
        </w:rPr>
        <w:t xml:space="preserve"> links to records and retention authorities.</w:t>
      </w:r>
    </w:p>
    <w:p w14:paraId="5661330A" w14:textId="79B9B871" w:rsidR="001052FE" w:rsidRPr="0094665F" w:rsidRDefault="005D0E5A" w:rsidP="005D0E5A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</w:rPr>
      </w:pPr>
      <w:r w:rsidRPr="005D0E5A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6. Procedures</w:t>
      </w:r>
    </w:p>
    <w:p w14:paraId="17019CFC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 xml:space="preserve">6.1 Execution: </w:t>
      </w:r>
      <w:r w:rsidRPr="00B96000">
        <w:rPr>
          <w:rFonts w:cs="Segoe UI Symbol"/>
        </w:rPr>
        <w:t>who runs each test, tools used, scripts location.</w:t>
      </w:r>
    </w:p>
    <w:p w14:paraId="33F022E0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lastRenderedPageBreak/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6.2 Evidence capture:</w:t>
      </w:r>
      <w:r w:rsidRPr="00B96000">
        <w:rPr>
          <w:rFonts w:cs="Segoe UI Symbol"/>
        </w:rPr>
        <w:t xml:space="preserve"> where results, logs, dashboards are stored (repo, SharePoint).</w:t>
      </w:r>
    </w:p>
    <w:p w14:paraId="1E76AF1D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6.3 Defects &amp; re-test:</w:t>
      </w:r>
      <w:r w:rsidRPr="00B96000">
        <w:rPr>
          <w:rFonts w:cs="Segoe UI Symbol"/>
        </w:rPr>
        <w:t xml:space="preserve"> severity levels, remediation windows, re-test triggers.</w:t>
      </w:r>
    </w:p>
    <w:p w14:paraId="330F1A9A" w14:textId="4A28A6CE" w:rsidR="006060A5" w:rsidRPr="00B96000" w:rsidRDefault="005D0E5A" w:rsidP="005D0E5A">
      <w:pPr>
        <w:shd w:val="clear" w:color="auto" w:fill="DAE9F7" w:themeFill="text2" w:themeFillTint="1A"/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6.4 Change control:</w:t>
      </w:r>
      <w:r w:rsidRPr="00B96000">
        <w:rPr>
          <w:rFonts w:cs="Segoe UI Symbol"/>
        </w:rPr>
        <w:t xml:space="preserve"> model update gates, rollback steps, versioning, SBOM updates.</w:t>
      </w:r>
    </w:p>
    <w:p w14:paraId="67DFF48B" w14:textId="76BD42B0" w:rsidR="001052FE" w:rsidRPr="005D0E5A" w:rsidRDefault="005D0E5A" w:rsidP="006060A5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5D0E5A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7. Monitoring Plan (Post-deployment)</w:t>
      </w:r>
    </w:p>
    <w:p w14:paraId="292B64BF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KPIs:</w:t>
      </w:r>
      <w:r w:rsidRPr="00B96000">
        <w:rPr>
          <w:rFonts w:cs="Segoe UI Symbol"/>
        </w:rPr>
        <w:t xml:space="preserve"> accuracy, latency, drift scores, fairness deltas, incident counts.</w:t>
      </w:r>
    </w:p>
    <w:p w14:paraId="00C4AA17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Alerts &amp; thresholds:</w:t>
      </w:r>
      <w:r w:rsidRPr="00B96000">
        <w:rPr>
          <w:rFonts w:cs="Segoe UI Symbol"/>
        </w:rPr>
        <w:t xml:space="preserve"> what triggers amber/red; who is paged.</w:t>
      </w:r>
    </w:p>
    <w:p w14:paraId="13BDD866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Bias &amp; drift cadence:</w:t>
      </w:r>
      <w:r w:rsidRPr="00B96000">
        <w:rPr>
          <w:rFonts w:cs="Segoe UI Symbol"/>
        </w:rPr>
        <w:t xml:space="preserve"> e.g., monthly fairness review; weekly drift checks.</w:t>
      </w:r>
    </w:p>
    <w:p w14:paraId="752382B1" w14:textId="77777777" w:rsidR="005D0E5A" w:rsidRPr="00B96000" w:rsidRDefault="005D0E5A" w:rsidP="005D0E5A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Human oversight:</w:t>
      </w:r>
      <w:r w:rsidRPr="00B96000">
        <w:rPr>
          <w:rFonts w:cs="Segoe UI Symbol"/>
        </w:rPr>
        <w:t xml:space="preserve"> which cases require mandatory human review (criteria/thresholds).</w:t>
      </w:r>
    </w:p>
    <w:p w14:paraId="1C22BF87" w14:textId="00E0DD41" w:rsidR="006060A5" w:rsidRPr="00B96000" w:rsidRDefault="005D0E5A" w:rsidP="0094665F">
      <w:pPr>
        <w:shd w:val="clear" w:color="auto" w:fill="DAE9F7" w:themeFill="text2" w:themeFillTint="1A"/>
        <w:rPr>
          <w:sz w:val="24"/>
          <w:szCs w:val="24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Reporting:</w:t>
      </w:r>
      <w:r w:rsidRPr="00B96000">
        <w:rPr>
          <w:rFonts w:cs="Segoe UI Symbol"/>
        </w:rPr>
        <w:t xml:space="preserve"> dashboards to System Owner; quarterly report to AI Governance Committee.</w:t>
      </w:r>
    </w:p>
    <w:p w14:paraId="1CAD1693" w14:textId="1AEE9C34" w:rsidR="00B96000" w:rsidRPr="00B96000" w:rsidRDefault="00B96000" w:rsidP="00B96000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B96000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8. Compliance and Alignment</w:t>
      </w:r>
    </w:p>
    <w:p w14:paraId="4B305118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APPs:</w:t>
      </w:r>
      <w:r w:rsidRPr="00B96000">
        <w:rPr>
          <w:rFonts w:cs="Segoe UI Symbol"/>
        </w:rPr>
        <w:t xml:space="preserve"> 5 (notification), 6 (use/disclosure), 10 (quality), 11 (security), 12/13 (access/correction).</w:t>
      </w:r>
    </w:p>
    <w:p w14:paraId="17A3EED9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Standards:</w:t>
      </w:r>
      <w:r w:rsidRPr="00B96000">
        <w:rPr>
          <w:rFonts w:cs="Segoe UI Symbol"/>
        </w:rPr>
        <w:t xml:space="preserve"> ISO 42001 (Ops &amp; controls), ISO 23894 (risk &amp; monitoring), NIST AI RMF (Manage).</w:t>
      </w:r>
    </w:p>
    <w:p w14:paraId="1A3D1B67" w14:textId="585908D8" w:rsidR="006060A5" w:rsidRPr="00B96000" w:rsidRDefault="00B96000" w:rsidP="0094665F">
      <w:pPr>
        <w:shd w:val="clear" w:color="auto" w:fill="DAE9F7" w:themeFill="text2" w:themeFillTint="1A"/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Internal links:</w:t>
      </w:r>
      <w:r w:rsidRPr="00B96000">
        <w:rPr>
          <w:rFonts w:cs="Segoe UI Symbol"/>
        </w:rPr>
        <w:t xml:space="preserve"> AI Policy, PIA, Risk Assessment, Security Testing Report, AI Register entry.</w:t>
      </w:r>
    </w:p>
    <w:p w14:paraId="259AE3B8" w14:textId="33AD3DCB" w:rsidR="00B96000" w:rsidRPr="00B96000" w:rsidRDefault="00B96000" w:rsidP="00B96000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B96000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9. Exit / Go-Live Criteria</w:t>
      </w:r>
    </w:p>
    <w:p w14:paraId="31882C20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  <w:t>All acceptance criteria met or risk-accepted at appropriate level.</w:t>
      </w:r>
    </w:p>
    <w:p w14:paraId="501191BA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  <w:t>PIA and security findings closed or formally accepted.</w:t>
      </w:r>
    </w:p>
    <w:p w14:paraId="4D107F0F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  <w:t>User training completed; SOPs for override and appeals in place.</w:t>
      </w:r>
    </w:p>
    <w:p w14:paraId="08E5AAF1" w14:textId="0CE75146" w:rsidR="006060A5" w:rsidRPr="00B96000" w:rsidRDefault="00B96000" w:rsidP="00B96000">
      <w:pPr>
        <w:shd w:val="clear" w:color="auto" w:fill="DAE9F7" w:themeFill="text2" w:themeFillTint="1A"/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  <w:t>AI Register updated; monitoring dashboards live; incident runbook active.</w:t>
      </w:r>
    </w:p>
    <w:p w14:paraId="4C071032" w14:textId="4DF68A61" w:rsidR="00B96000" w:rsidRPr="00B96000" w:rsidRDefault="00B96000" w:rsidP="00B96000">
      <w:pPr>
        <w:shd w:val="clear" w:color="auto" w:fill="E8E8E8" w:themeFill="background2"/>
        <w:spacing w:before="360"/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</w:pPr>
      <w:r w:rsidRPr="00B96000">
        <w:rPr>
          <w:rFonts w:asciiTheme="majorHAnsi" w:eastAsiaTheme="majorEastAsia" w:hAnsiTheme="majorHAnsi" w:cstheme="majorBidi"/>
          <w:b/>
          <w:bCs/>
          <w:color w:val="0655FF"/>
          <w:sz w:val="24"/>
          <w:szCs w:val="24"/>
          <w:lang w:val="en-AU"/>
        </w:rPr>
        <w:t>10. Approvals</w:t>
      </w:r>
    </w:p>
    <w:p w14:paraId="72689543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System Owner:</w:t>
      </w:r>
      <w:r w:rsidRPr="00B96000">
        <w:rPr>
          <w:rFonts w:cs="Segoe UI Symbol"/>
        </w:rPr>
        <w:t xml:space="preserve"> name/date</w:t>
      </w:r>
    </w:p>
    <w:p w14:paraId="313317C3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 xml:space="preserve">Risk &amp; Compliance: </w:t>
      </w:r>
      <w:r w:rsidRPr="00B96000">
        <w:rPr>
          <w:rFonts w:cs="Segoe UI Symbol"/>
        </w:rPr>
        <w:t>name/date</w:t>
      </w:r>
    </w:p>
    <w:p w14:paraId="10236763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Privacy (review):</w:t>
      </w:r>
      <w:r w:rsidRPr="00B96000">
        <w:rPr>
          <w:rFonts w:cs="Segoe UI Symbol"/>
        </w:rPr>
        <w:t xml:space="preserve"> name/date</w:t>
      </w:r>
    </w:p>
    <w:p w14:paraId="394208BF" w14:textId="77777777" w:rsidR="00B96000" w:rsidRPr="00B96000" w:rsidRDefault="00B96000" w:rsidP="00B96000">
      <w:pPr>
        <w:shd w:val="clear" w:color="auto" w:fill="DAE9F7" w:themeFill="text2" w:themeFillTint="1A"/>
        <w:rPr>
          <w:rFonts w:cs="Segoe UI Symbol"/>
        </w:rPr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Information Security:</w:t>
      </w:r>
      <w:r w:rsidRPr="00B96000">
        <w:rPr>
          <w:rFonts w:cs="Segoe UI Symbol"/>
        </w:rPr>
        <w:t xml:space="preserve"> name/date</w:t>
      </w:r>
    </w:p>
    <w:p w14:paraId="08D09E68" w14:textId="355661AD" w:rsidR="006060A5" w:rsidRPr="00B96000" w:rsidRDefault="00B96000" w:rsidP="00B96000">
      <w:pPr>
        <w:shd w:val="clear" w:color="auto" w:fill="DAE9F7" w:themeFill="text2" w:themeFillTint="1A"/>
      </w:pPr>
      <w:r w:rsidRPr="00B96000">
        <w:rPr>
          <w:rFonts w:cs="Segoe UI Symbol"/>
        </w:rPr>
        <w:t>•</w:t>
      </w:r>
      <w:r w:rsidRPr="00B96000">
        <w:rPr>
          <w:rFonts w:cs="Segoe UI Symbol"/>
        </w:rPr>
        <w:tab/>
      </w:r>
      <w:r w:rsidRPr="00B96000">
        <w:rPr>
          <w:rFonts w:cs="Segoe UI Symbol"/>
          <w:b/>
        </w:rPr>
        <w:t>Internal Audit (if applicable):</w:t>
      </w:r>
      <w:r w:rsidRPr="00B96000">
        <w:rPr>
          <w:rFonts w:cs="Segoe UI Symbol"/>
        </w:rPr>
        <w:t xml:space="preserve"> name/date</w:t>
      </w:r>
    </w:p>
    <w:p w14:paraId="7B48F5C3" w14:textId="77777777" w:rsidR="006060A5" w:rsidRPr="002374B9" w:rsidRDefault="006060A5" w:rsidP="0094665F">
      <w:pPr>
        <w:shd w:val="clear" w:color="auto" w:fill="DAE9F7" w:themeFill="text2" w:themeFillTint="1A"/>
      </w:pPr>
    </w:p>
    <w:p w14:paraId="0E935308" w14:textId="77777777" w:rsidR="001052FE" w:rsidRDefault="001052FE" w:rsidP="001052FE">
      <w:pPr>
        <w:rPr>
          <w:b/>
          <w:bCs/>
        </w:rPr>
      </w:pPr>
    </w:p>
    <w:p w14:paraId="66B7F463" w14:textId="77777777" w:rsidR="001052FE" w:rsidRDefault="001052FE"/>
    <w:sectPr w:rsidR="001052FE" w:rsidSect="00166A38">
      <w:headerReference w:type="default" r:id="rId7"/>
      <w:footerReference w:type="default" r:id="rId8"/>
      <w:pgSz w:w="11906" w:h="16838"/>
      <w:pgMar w:top="1134" w:right="1440" w:bottom="709" w:left="1440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1F1F7" w14:textId="77777777" w:rsidR="00AA3138" w:rsidRDefault="00AA3138" w:rsidP="001052FE">
      <w:pPr>
        <w:spacing w:after="0" w:line="240" w:lineRule="auto"/>
      </w:pPr>
      <w:r>
        <w:separator/>
      </w:r>
    </w:p>
  </w:endnote>
  <w:endnote w:type="continuationSeparator" w:id="0">
    <w:p w14:paraId="493237DF" w14:textId="77777777" w:rsidR="00AA3138" w:rsidRDefault="00AA3138" w:rsidP="0010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12157" w14:textId="4C6DAF7B" w:rsidR="006060A5" w:rsidRPr="006060A5" w:rsidRDefault="006060A5">
    <w:pPr>
      <w:pStyle w:val="Footer"/>
      <w:jc w:val="right"/>
      <w:rPr>
        <w:sz w:val="18"/>
        <w:szCs w:val="18"/>
      </w:rPr>
    </w:pPr>
  </w:p>
  <w:p w14:paraId="3B8CC2F0" w14:textId="73665141" w:rsidR="001052FE" w:rsidRPr="001052FE" w:rsidRDefault="006060A5" w:rsidP="006060A5">
    <w:pPr>
      <w:pStyle w:val="Footer"/>
      <w:tabs>
        <w:tab w:val="left" w:pos="2753"/>
      </w:tabs>
      <w:rPr>
        <w:sz w:val="18"/>
        <w:szCs w:val="18"/>
        <w:lang w:val="en-AU"/>
      </w:rPr>
    </w:pPr>
    <w:r>
      <w:rPr>
        <w:sz w:val="18"/>
        <w:szCs w:val="18"/>
        <w:lang w:val="en-AU"/>
      </w:rPr>
      <w:tab/>
    </w:r>
    <w:r>
      <w:rPr>
        <w:sz w:val="18"/>
        <w:szCs w:val="18"/>
        <w:lang w:val="en-A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F68B6" w14:textId="77777777" w:rsidR="00AA3138" w:rsidRDefault="00AA3138" w:rsidP="001052FE">
      <w:pPr>
        <w:spacing w:after="0" w:line="240" w:lineRule="auto"/>
      </w:pPr>
      <w:r>
        <w:separator/>
      </w:r>
    </w:p>
  </w:footnote>
  <w:footnote w:type="continuationSeparator" w:id="0">
    <w:p w14:paraId="0E2ADC75" w14:textId="77777777" w:rsidR="00AA3138" w:rsidRDefault="00AA3138" w:rsidP="0010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F9F" w14:textId="10707193" w:rsidR="001052FE" w:rsidRPr="001052FE" w:rsidRDefault="001052FE" w:rsidP="00166A38">
    <w:pPr>
      <w:pStyle w:val="Header"/>
      <w:tabs>
        <w:tab w:val="clear" w:pos="4513"/>
        <w:tab w:val="center" w:pos="4253"/>
      </w:tabs>
      <w:jc w:val="center"/>
      <w:rPr>
        <w:lang w:val="en-AU"/>
      </w:rPr>
    </w:pPr>
    <w:r w:rsidRPr="001052FE">
      <w:rPr>
        <w:noProof/>
        <w:lang w:val="en-AU"/>
      </w:rPr>
      <w:drawing>
        <wp:inline distT="0" distB="0" distL="0" distR="0" wp14:anchorId="3748158D" wp14:editId="74381873">
          <wp:extent cx="1345997" cy="277419"/>
          <wp:effectExtent l="0" t="0" r="6985" b="8890"/>
          <wp:docPr id="895754732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427305" name="Picture 1" descr="A 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997" cy="277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05370D" w14:textId="77777777" w:rsidR="001052FE" w:rsidRDefault="001052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FE"/>
    <w:rsid w:val="001052FE"/>
    <w:rsid w:val="00166A38"/>
    <w:rsid w:val="00330805"/>
    <w:rsid w:val="005D0E5A"/>
    <w:rsid w:val="006060A5"/>
    <w:rsid w:val="00724AAB"/>
    <w:rsid w:val="008B2DDF"/>
    <w:rsid w:val="008F26A7"/>
    <w:rsid w:val="0094665F"/>
    <w:rsid w:val="00AA3138"/>
    <w:rsid w:val="00B96000"/>
    <w:rsid w:val="00DD3EEB"/>
    <w:rsid w:val="00FB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2B8D2"/>
  <w15:chartTrackingRefBased/>
  <w15:docId w15:val="{E7A28083-59FA-4269-BD66-58B6725B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2F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5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2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2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2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5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2F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5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2F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78F73-5F45-B546-A069-73AC84C6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Bennett</dc:creator>
  <cp:keywords/>
  <dc:description/>
  <cp:lastModifiedBy>Microsoft Office User</cp:lastModifiedBy>
  <cp:revision>4</cp:revision>
  <dcterms:created xsi:type="dcterms:W3CDTF">2025-12-09T02:07:00Z</dcterms:created>
  <dcterms:modified xsi:type="dcterms:W3CDTF">2026-02-05T02:02:00Z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42110b13-67b5-4ca5-b7c1-2814e301e405</vt:lpwstr>
  </property>
</Properties>
</file>